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328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7" w:hRule="atLeast"/>
        </w:trPr>
        <w:tc>
          <w:tcPr>
            <w:tcW w:w="13462" w:type="dxa"/>
          </w:tcPr>
          <w:p>
            <w:pPr>
              <w:adjustRightInd w:val="0"/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br w:type="page"/>
            </w:r>
            <w:r>
              <w:rPr>
                <w:rFonts w:hint="eastAsia" w:eastAsia="黑体"/>
                <w:b/>
                <w:sz w:val="28"/>
                <w:szCs w:val="28"/>
              </w:rPr>
              <w:t>焦家矿区（整合）金矿资源开发利用工程</w:t>
            </w:r>
          </w:p>
          <w:p>
            <w:pPr>
              <w:adjustRightIn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社会稳定风险分析公众参与信息公示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根据国家、省、市有关文件要求，现将焦家矿区（整合）金矿资源开发利用工程社会稳定风险分析工作向公众进行信息公示，征求公众对项目建设在社会稳定风险分析方面的意见和建议。</w:t>
            </w:r>
          </w:p>
          <w:p>
            <w:pPr>
              <w:spacing w:line="360" w:lineRule="exact"/>
              <w:ind w:firstLine="422" w:firstLineChars="200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一、</w:t>
            </w:r>
            <w:r>
              <w:rPr>
                <w:rFonts w:hint="eastAsia" w:eastAsia="黑体"/>
                <w:b/>
                <w:szCs w:val="21"/>
              </w:rPr>
              <w:t>项目名称及简介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1、项目</w:t>
            </w:r>
            <w:r>
              <w:rPr>
                <w:rFonts w:eastAsia="黑体"/>
                <w:szCs w:val="21"/>
              </w:rPr>
              <w:t>名称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焦家矿区（整合）金矿资源开发利用工程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2、项目简介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1）项目范围：山东黄金矿业（莱州）有限公司焦家金矿为了将资源优势转化为经济优势，拟对焦家矿区金矿资源整合后统一开发，本次资源整合开发范围为焦家矿区内的金矿地质资源，主要包括焦家、望儿山、寺庄、金城、马塘矿区、马塘二矿区、东季、朱郭李家、焦家深部及外围南部、前陈-上杨家、南吕-欣木、后赵北部、马塘二矿区深部及外围、后赵共14个矿权。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2）建设规模：根据矿山开采现状、开采范围内矿体资源量、矿体赋存特征，以及生产能力论证，本次设计焦家矿区（整合）金矿资源开发利用工程的建设规模确定为20000t/d、6600kt/a。根据开采范围内的资源分布、矿山目前生产管理现状，焦家金矿划分为南北两个区域，北部区域为焦家金矿北区，主要包括焦家、望儿山、金城、朱郭李家北部、南吕-欣木北部等，南部区域为焦家金矿南区，主要包括寺庄、朱郭李家南部、南吕-欣木南部、前陈-上杨家、后赵北部等。其中北区建设规模为6000t/d、1980kt/a，南区建设规模为14000t/d、4620kt/a。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3）服务年限：通过基建和生产进度计划安排，施工总工期（包括施工准备）8年，结合地质报告核实时间及矿山产能，前期和施工总工期内共采出矿量49231.73kt。新建6600kt/a规模工程投产后，共采出矿量187505.71kt，服务年限31a，其中达产24a（6600kt/a），减产7a（6105kt/a~3300kt/a）。</w:t>
            </w:r>
          </w:p>
          <w:p>
            <w:pPr>
              <w:spacing w:line="360" w:lineRule="exact"/>
              <w:ind w:firstLine="422" w:firstLineChars="200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二、建设单位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单位名称：</w:t>
            </w:r>
            <w:r>
              <w:rPr>
                <w:rFonts w:hint="eastAsia" w:eastAsia="黑体"/>
                <w:szCs w:val="21"/>
              </w:rPr>
              <w:t>山东黄金矿业（莱州）有限公司焦家金矿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通讯地址：</w:t>
            </w:r>
            <w:r>
              <w:rPr>
                <w:rFonts w:hint="eastAsia" w:eastAsia="黑体"/>
                <w:szCs w:val="21"/>
              </w:rPr>
              <w:t>莱州市金城镇焦家金矿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联系人：王经理         </w:t>
            </w:r>
            <w:r>
              <w:rPr>
                <w:rFonts w:eastAsia="黑体"/>
                <w:szCs w:val="21"/>
              </w:rPr>
              <w:t>联系电话：15192200521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邮政编码：261441</w:t>
            </w:r>
            <w:r>
              <w:rPr>
                <w:rFonts w:hint="eastAsia" w:eastAsia="黑体"/>
                <w:szCs w:val="21"/>
              </w:rPr>
              <w:t xml:space="preserve">       </w:t>
            </w:r>
            <w:r>
              <w:rPr>
                <w:rFonts w:eastAsia="黑体"/>
                <w:szCs w:val="21"/>
              </w:rPr>
              <w:t>E-mail：</w:t>
            </w:r>
            <w:r>
              <w:rPr>
                <w:rFonts w:hint="eastAsia"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xmbwanghui@163.com</w:t>
            </w:r>
          </w:p>
          <w:p>
            <w:pPr>
              <w:spacing w:line="360" w:lineRule="exact"/>
              <w:ind w:firstLine="422" w:firstLineChars="200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三、社会稳定风险</w:t>
            </w:r>
            <w:r>
              <w:rPr>
                <w:rFonts w:hint="eastAsia" w:eastAsia="黑体"/>
                <w:b/>
                <w:szCs w:val="21"/>
              </w:rPr>
              <w:t>分析报告编制</w:t>
            </w:r>
            <w:r>
              <w:rPr>
                <w:rFonts w:eastAsia="黑体"/>
                <w:b/>
                <w:szCs w:val="21"/>
              </w:rPr>
              <w:t>单位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单位名称：山东宗汇工程咨询有限公司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通讯地址：龙口市南山路南段百路家具西200米路南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联系人：  史工         </w:t>
            </w:r>
            <w:r>
              <w:rPr>
                <w:rFonts w:eastAsia="黑体"/>
                <w:szCs w:val="21"/>
              </w:rPr>
              <w:t>联系电话：0535-8578729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邮政编码：26570</w:t>
            </w:r>
            <w:r>
              <w:rPr>
                <w:rFonts w:hint="eastAsia" w:eastAsia="黑体"/>
                <w:szCs w:val="21"/>
              </w:rPr>
              <w:t xml:space="preserve">1       </w:t>
            </w:r>
            <w:r>
              <w:rPr>
                <w:rFonts w:eastAsia="黑体"/>
                <w:szCs w:val="21"/>
              </w:rPr>
              <w:t>E-mail：  sdzh8954362@126.com</w:t>
            </w:r>
          </w:p>
          <w:p>
            <w:pPr>
              <w:spacing w:line="360" w:lineRule="exact"/>
              <w:ind w:firstLine="422" w:firstLineChars="200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四、社会稳定风险分析的内容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1、</w:t>
            </w:r>
            <w:r>
              <w:rPr>
                <w:rFonts w:hint="eastAsia" w:eastAsia="黑体"/>
                <w:szCs w:val="21"/>
              </w:rPr>
              <w:t>结合</w:t>
            </w:r>
            <w:r>
              <w:rPr>
                <w:rFonts w:eastAsia="黑体"/>
                <w:szCs w:val="21"/>
              </w:rPr>
              <w:t>国家法律、法规及相关规划等，对</w:t>
            </w:r>
            <w:r>
              <w:rPr>
                <w:rFonts w:hint="eastAsia" w:eastAsia="黑体"/>
                <w:szCs w:val="21"/>
              </w:rPr>
              <w:t>项目</w:t>
            </w:r>
            <w:r>
              <w:rPr>
                <w:rFonts w:eastAsia="黑体"/>
                <w:szCs w:val="21"/>
              </w:rPr>
              <w:t>的合法性、合理性、可行性和可控性</w:t>
            </w:r>
            <w:r>
              <w:rPr>
                <w:rFonts w:hint="eastAsia" w:eastAsia="黑体"/>
                <w:szCs w:val="21"/>
              </w:rPr>
              <w:t>进行</w:t>
            </w:r>
            <w:r>
              <w:rPr>
                <w:rFonts w:eastAsia="黑体"/>
                <w:szCs w:val="21"/>
              </w:rPr>
              <w:t>分析；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2、研究相关资料，实施社会调查，识别</w:t>
            </w:r>
            <w:r>
              <w:rPr>
                <w:rFonts w:hint="eastAsia" w:eastAsia="黑体"/>
                <w:szCs w:val="21"/>
              </w:rPr>
              <w:t>项目</w:t>
            </w:r>
            <w:r>
              <w:rPr>
                <w:rFonts w:eastAsia="黑体"/>
                <w:szCs w:val="21"/>
              </w:rPr>
              <w:t>可能存在的社会稳定风险因素；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3、对可能导致社会稳定风险的因素进行分析和评估，判定风险程度；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4、提出风险防范措施和建议，并评估采取防范措施后的风险等级。</w:t>
            </w:r>
          </w:p>
          <w:p>
            <w:pPr>
              <w:spacing w:line="360" w:lineRule="exact"/>
              <w:ind w:firstLine="422" w:firstLineChars="200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五、征求公众意见的范围、主要事项、方式和截止日期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（一）范围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项目建设涉及利益相关的</w:t>
            </w:r>
            <w:r>
              <w:rPr>
                <w:rFonts w:eastAsia="黑体"/>
                <w:szCs w:val="21"/>
              </w:rPr>
              <w:t>公民</w:t>
            </w:r>
            <w:r>
              <w:rPr>
                <w:rFonts w:hint="eastAsia" w:eastAsia="黑体"/>
                <w:szCs w:val="21"/>
              </w:rPr>
              <w:t>、法人和其他组织。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（二）主要事项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1、</w:t>
            </w:r>
            <w:r>
              <w:rPr>
                <w:rFonts w:hint="eastAsia" w:eastAsia="黑体"/>
                <w:szCs w:val="21"/>
              </w:rPr>
              <w:t>利益相关者</w:t>
            </w:r>
            <w:r>
              <w:rPr>
                <w:rFonts w:eastAsia="黑体"/>
                <w:szCs w:val="21"/>
              </w:rPr>
              <w:t>了解项目建设的消息来源；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2、</w:t>
            </w:r>
            <w:r>
              <w:rPr>
                <w:rFonts w:hint="eastAsia" w:eastAsia="黑体"/>
                <w:szCs w:val="21"/>
              </w:rPr>
              <w:t>利益相关者</w:t>
            </w:r>
            <w:r>
              <w:rPr>
                <w:rFonts w:eastAsia="黑体"/>
                <w:szCs w:val="21"/>
              </w:rPr>
              <w:t>对项目的了解程度；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3、项目建设对本地区经济发展的利弊；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4</w:t>
            </w:r>
            <w:r>
              <w:rPr>
                <w:rFonts w:eastAsia="黑体"/>
                <w:szCs w:val="21"/>
              </w:rPr>
              <w:t>、</w:t>
            </w:r>
            <w:r>
              <w:rPr>
                <w:rFonts w:hint="eastAsia" w:eastAsia="黑体"/>
                <w:szCs w:val="21"/>
              </w:rPr>
              <w:t>利益相关者对项目</w:t>
            </w:r>
            <w:r>
              <w:rPr>
                <w:rFonts w:eastAsia="黑体"/>
                <w:szCs w:val="21"/>
              </w:rPr>
              <w:t>规划选址</w:t>
            </w:r>
            <w:r>
              <w:rPr>
                <w:rFonts w:hint="eastAsia" w:eastAsia="黑体"/>
                <w:szCs w:val="21"/>
              </w:rPr>
              <w:t>持有的态度</w:t>
            </w:r>
            <w:r>
              <w:rPr>
                <w:rFonts w:eastAsia="黑体"/>
                <w:szCs w:val="21"/>
              </w:rPr>
              <w:t>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  <w:r>
              <w:rPr>
                <w:rFonts w:hAnsi="黑体" w:eastAsia="黑体"/>
                <w:szCs w:val="21"/>
              </w:rPr>
              <w:t>、项目建设涉及</w:t>
            </w:r>
            <w:r>
              <w:rPr>
                <w:rFonts w:hint="eastAsia" w:hAnsi="黑体" w:eastAsia="黑体"/>
                <w:szCs w:val="21"/>
              </w:rPr>
              <w:t>征地、地上附着物清除或</w:t>
            </w:r>
            <w:r>
              <w:rPr>
                <w:rFonts w:hAnsi="黑体" w:eastAsia="黑体"/>
                <w:szCs w:val="21"/>
              </w:rPr>
              <w:t>临时占用土地等，利益相关者持有的态度和关心的问题；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6、项目施工期、运营期对利益相关者工作生活或生产经营造成</w:t>
            </w:r>
            <w:r>
              <w:rPr>
                <w:rFonts w:eastAsia="黑体"/>
                <w:szCs w:val="21"/>
              </w:rPr>
              <w:t>的影响</w:t>
            </w:r>
            <w:r>
              <w:rPr>
                <w:rFonts w:hint="eastAsia" w:eastAsia="黑体"/>
                <w:szCs w:val="21"/>
              </w:rPr>
              <w:t>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7、项目施工期、运营期对当地环境造成的影响；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8、项目在严格落实相关环保、安全等措施的前提下，利益相关者对项目建设持有的态度</w:t>
            </w:r>
            <w:r>
              <w:rPr>
                <w:rFonts w:eastAsia="黑体"/>
                <w:szCs w:val="21"/>
              </w:rPr>
              <w:t>；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9</w:t>
            </w:r>
            <w:r>
              <w:rPr>
                <w:rFonts w:eastAsia="黑体"/>
                <w:szCs w:val="21"/>
              </w:rPr>
              <w:t>、其他方面的意见和诉求。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（三）公众参与的主要方式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公众可通过信函、电话、电子邮件等方式于公示期间内向</w:t>
            </w:r>
            <w:r>
              <w:rPr>
                <w:rFonts w:hint="eastAsia" w:eastAsia="黑体"/>
                <w:szCs w:val="21"/>
              </w:rPr>
              <w:t>上述建设</w:t>
            </w:r>
            <w:r>
              <w:rPr>
                <w:rFonts w:eastAsia="黑体"/>
                <w:szCs w:val="21"/>
              </w:rPr>
              <w:t>单位或社会稳定风险</w:t>
            </w:r>
            <w:r>
              <w:rPr>
                <w:rFonts w:hint="eastAsia" w:eastAsia="黑体"/>
                <w:szCs w:val="21"/>
              </w:rPr>
              <w:t>分析报告编制</w:t>
            </w:r>
            <w:r>
              <w:rPr>
                <w:rFonts w:eastAsia="黑体"/>
                <w:szCs w:val="21"/>
              </w:rPr>
              <w:t>单位提出自己的意见。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（四）截止日期</w:t>
            </w:r>
          </w:p>
          <w:p>
            <w:pPr>
              <w:spacing w:line="360" w:lineRule="exact"/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公示</w:t>
            </w:r>
            <w:r>
              <w:rPr>
                <w:rFonts w:eastAsia="黑体"/>
                <w:szCs w:val="21"/>
              </w:rPr>
              <w:t>有效期自公告之日起7</w:t>
            </w:r>
            <w:r>
              <w:rPr>
                <w:rFonts w:hint="eastAsia" w:eastAsia="黑体"/>
                <w:szCs w:val="21"/>
              </w:rPr>
              <w:t>日</w:t>
            </w:r>
            <w:r>
              <w:rPr>
                <w:rFonts w:eastAsia="黑体"/>
                <w:szCs w:val="21"/>
              </w:rPr>
              <w:t>内。</w:t>
            </w:r>
          </w:p>
          <w:p>
            <w:pPr>
              <w:spacing w:line="460" w:lineRule="exact"/>
              <w:ind w:firstLine="420" w:firstLineChars="200"/>
              <w:jc w:val="right"/>
              <w:rPr>
                <w:rFonts w:hAnsi="黑体" w:eastAsia="黑体"/>
                <w:szCs w:val="21"/>
              </w:rPr>
            </w:pPr>
          </w:p>
          <w:p>
            <w:pPr>
              <w:spacing w:line="460" w:lineRule="exact"/>
              <w:ind w:firstLine="420" w:firstLineChars="200"/>
              <w:jc w:val="right"/>
              <w:rPr>
                <w:rFonts w:hAnsi="黑体" w:eastAsia="黑体"/>
                <w:szCs w:val="21"/>
              </w:rPr>
            </w:pPr>
          </w:p>
          <w:p>
            <w:pPr>
              <w:spacing w:line="460" w:lineRule="exact"/>
              <w:ind w:firstLine="420" w:firstLineChars="200"/>
              <w:jc w:val="right"/>
              <w:rPr>
                <w:rFonts w:hAnsi="黑体" w:eastAsia="黑体"/>
                <w:szCs w:val="21"/>
              </w:rPr>
            </w:pPr>
          </w:p>
          <w:p>
            <w:pPr>
              <w:spacing w:line="460" w:lineRule="exact"/>
              <w:ind w:firstLine="420" w:firstLineChars="200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山东黄金矿业（莱州）有限公司焦家金矿</w:t>
            </w:r>
          </w:p>
          <w:p>
            <w:pPr>
              <w:spacing w:line="460" w:lineRule="exact"/>
              <w:ind w:firstLine="420" w:firstLineChars="200"/>
              <w:jc w:val="right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Cs w:val="21"/>
              </w:rPr>
              <w:t>2022</w:t>
            </w:r>
            <w:r>
              <w:rPr>
                <w:rFonts w:hAnsi="黑体" w:eastAsia="黑体"/>
                <w:szCs w:val="21"/>
              </w:rPr>
              <w:t>年</w:t>
            </w:r>
            <w:r>
              <w:rPr>
                <w:rFonts w:hint="eastAsia" w:hAnsi="黑体" w:eastAsia="黑体"/>
                <w:szCs w:val="21"/>
              </w:rPr>
              <w:t xml:space="preserve"> </w:t>
            </w:r>
            <w:r>
              <w:rPr>
                <w:rFonts w:hint="eastAsia" w:hAnsi="黑体" w:eastAsia="黑体"/>
                <w:szCs w:val="21"/>
                <w:lang w:val="en-US" w:eastAsia="zh-CN"/>
              </w:rPr>
              <w:t>3</w:t>
            </w:r>
            <w:r>
              <w:rPr>
                <w:rFonts w:hAnsi="黑体" w:eastAsia="黑体"/>
                <w:szCs w:val="21"/>
              </w:rPr>
              <w:t>月</w:t>
            </w:r>
            <w:r>
              <w:rPr>
                <w:rFonts w:hint="eastAsia" w:hAnsi="黑体" w:eastAsia="黑体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Ansi="黑体" w:eastAsia="黑体"/>
                <w:szCs w:val="21"/>
              </w:rPr>
              <w:t>日</w:t>
            </w:r>
          </w:p>
        </w:tc>
      </w:tr>
    </w:tbl>
    <w:p>
      <w:pPr>
        <w:jc w:val="center"/>
      </w:pPr>
    </w:p>
    <w:sectPr>
      <w:pgSz w:w="16840" w:h="23814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F29"/>
    <w:rsid w:val="00080B4F"/>
    <w:rsid w:val="00223276"/>
    <w:rsid w:val="00226E46"/>
    <w:rsid w:val="00247F29"/>
    <w:rsid w:val="00273176"/>
    <w:rsid w:val="003C7249"/>
    <w:rsid w:val="00401EB5"/>
    <w:rsid w:val="004966C8"/>
    <w:rsid w:val="004E054B"/>
    <w:rsid w:val="004E27C8"/>
    <w:rsid w:val="004E3606"/>
    <w:rsid w:val="00623F23"/>
    <w:rsid w:val="006C161B"/>
    <w:rsid w:val="007F6463"/>
    <w:rsid w:val="008F02F0"/>
    <w:rsid w:val="009079AF"/>
    <w:rsid w:val="009F36A5"/>
    <w:rsid w:val="00CB2D40"/>
    <w:rsid w:val="00D1507C"/>
    <w:rsid w:val="00D44A58"/>
    <w:rsid w:val="00D74B69"/>
    <w:rsid w:val="00D83B94"/>
    <w:rsid w:val="00DB5F94"/>
    <w:rsid w:val="00E10BDB"/>
    <w:rsid w:val="00E61B16"/>
    <w:rsid w:val="00EE4046"/>
    <w:rsid w:val="00F75A3F"/>
    <w:rsid w:val="00F97590"/>
    <w:rsid w:val="432768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240</Words>
  <Characters>1374</Characters>
  <Lines>11</Lines>
  <Paragraphs>3</Paragraphs>
  <TotalTime>0</TotalTime>
  <ScaleCrop>false</ScaleCrop>
  <LinksUpToDate>false</LinksUpToDate>
  <CharactersWithSpaces>1611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2021-05-20T07:15:00Z</dcterms:created>
  <dc:creator>AutoBVT</dc:creator>
  <cp:lastModifiedBy>张乐乐</cp:lastModifiedBy>
  <dcterms:modified xsi:type="dcterms:W3CDTF">2022-03-04T08:52:09Z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